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1016A" w14:textId="77777777" w:rsidR="008B4E7F" w:rsidRPr="005C67FE" w:rsidRDefault="008B4E7F" w:rsidP="005C67FE">
      <w:pPr>
        <w:jc w:val="center"/>
        <w:rPr>
          <w:rFonts w:ascii="Cambria" w:eastAsia="Times New Roman" w:hAnsi="Cambria" w:cs="Times New Roman"/>
          <w:b/>
          <w:kern w:val="1"/>
          <w:sz w:val="28"/>
          <w:szCs w:val="28"/>
        </w:rPr>
      </w:pPr>
    </w:p>
    <w:p w14:paraId="3531F427" w14:textId="319EF530" w:rsidR="00AE30B1" w:rsidRPr="005C67FE" w:rsidRDefault="00AE30B1" w:rsidP="005C67FE">
      <w:pPr>
        <w:jc w:val="center"/>
        <w:rPr>
          <w:rFonts w:ascii="Calibri" w:eastAsia="Times New Roman" w:hAnsi="Calibri" w:cs="Calibri"/>
          <w:b/>
          <w:color w:val="365F91" w:themeColor="accent1" w:themeShade="BF"/>
          <w:kern w:val="1"/>
          <w:sz w:val="36"/>
          <w:szCs w:val="36"/>
        </w:rPr>
      </w:pPr>
      <w:r w:rsidRPr="005C67FE">
        <w:rPr>
          <w:rFonts w:ascii="Calibri" w:eastAsia="Times New Roman" w:hAnsi="Calibri" w:cs="Calibri"/>
          <w:b/>
          <w:color w:val="365F91" w:themeColor="accent1" w:themeShade="BF"/>
          <w:kern w:val="1"/>
          <w:sz w:val="36"/>
          <w:szCs w:val="36"/>
        </w:rPr>
        <w:t xml:space="preserve">El maltrato infantil altera la actividad del eje HHA </w:t>
      </w:r>
    </w:p>
    <w:p w14:paraId="204359D3" w14:textId="3E64E5F4" w:rsidR="00444A94" w:rsidRPr="005C67FE" w:rsidRDefault="00AE30B1" w:rsidP="005C67FE">
      <w:pPr>
        <w:jc w:val="center"/>
        <w:rPr>
          <w:rFonts w:ascii="Calibri" w:eastAsia="Times New Roman" w:hAnsi="Calibri" w:cs="Calibri"/>
          <w:b/>
          <w:color w:val="365F91" w:themeColor="accent1" w:themeShade="BF"/>
          <w:kern w:val="1"/>
          <w:sz w:val="36"/>
          <w:szCs w:val="36"/>
        </w:rPr>
      </w:pPr>
      <w:r w:rsidRPr="005C67FE">
        <w:rPr>
          <w:rFonts w:ascii="Calibri" w:eastAsia="Times New Roman" w:hAnsi="Calibri" w:cs="Calibri"/>
          <w:b/>
          <w:color w:val="365F91" w:themeColor="accent1" w:themeShade="BF"/>
          <w:kern w:val="1"/>
          <w:sz w:val="36"/>
          <w:szCs w:val="36"/>
        </w:rPr>
        <w:t>en etapas tempranas del desarrollo</w:t>
      </w:r>
    </w:p>
    <w:p w14:paraId="4A31B424" w14:textId="148E7AEF" w:rsidR="008B4E7F" w:rsidRDefault="00444A94" w:rsidP="008B4E7F">
      <w:pPr>
        <w:pStyle w:val="Ttulo1"/>
        <w:numPr>
          <w:ilvl w:val="0"/>
          <w:numId w:val="5"/>
        </w:numPr>
        <w:spacing w:line="240" w:lineRule="auto"/>
        <w:rPr>
          <w:rFonts w:asciiTheme="minorHAnsi" w:eastAsia="Cambria" w:hAnsiTheme="minorHAnsi" w:cstheme="minorHAnsi"/>
          <w:b/>
          <w:bCs/>
          <w:sz w:val="24"/>
          <w:szCs w:val="24"/>
          <w:lang w:val="es-ES"/>
        </w:rPr>
      </w:pPr>
      <w:r w:rsidRPr="008B4E7F">
        <w:rPr>
          <w:rFonts w:asciiTheme="minorHAnsi" w:eastAsia="Cambria" w:hAnsiTheme="minorHAnsi" w:cstheme="minorHAnsi"/>
          <w:b/>
          <w:bCs/>
          <w:sz w:val="24"/>
          <w:szCs w:val="24"/>
          <w:lang w:val="es-ES"/>
        </w:rPr>
        <w:t>E</w:t>
      </w:r>
      <w:r w:rsidRPr="008B4E7F">
        <w:rPr>
          <w:rFonts w:asciiTheme="minorHAnsi" w:eastAsia="Cambria" w:hAnsiTheme="minorHAnsi" w:cstheme="minorHAnsi"/>
          <w:b/>
          <w:bCs/>
          <w:sz w:val="24"/>
          <w:szCs w:val="24"/>
          <w:lang w:val="es-ES"/>
        </w:rPr>
        <w:t>l eje Hipotálamo Hipofisario Adrenal (HHA)</w:t>
      </w:r>
      <w:r w:rsidRPr="008B4E7F">
        <w:rPr>
          <w:rFonts w:asciiTheme="minorHAnsi" w:eastAsia="Cambria" w:hAnsiTheme="minorHAnsi" w:cstheme="minorHAnsi"/>
          <w:b/>
          <w:bCs/>
          <w:sz w:val="24"/>
          <w:szCs w:val="24"/>
          <w:lang w:val="es-ES"/>
        </w:rPr>
        <w:t xml:space="preserve"> es</w:t>
      </w:r>
      <w:r w:rsidRPr="008B4E7F">
        <w:rPr>
          <w:rFonts w:asciiTheme="minorHAnsi" w:eastAsia="Cambria" w:hAnsiTheme="minorHAnsi" w:cstheme="minorHAnsi"/>
          <w:b/>
          <w:bCs/>
          <w:sz w:val="24"/>
          <w:szCs w:val="24"/>
          <w:lang w:val="es-ES"/>
        </w:rPr>
        <w:t xml:space="preserve"> uno de los principales mecanismos biológicos de regulación del estrés</w:t>
      </w:r>
    </w:p>
    <w:p w14:paraId="792F96A3" w14:textId="063602FC" w:rsidR="00AE30B1" w:rsidRPr="008B4E7F" w:rsidRDefault="00444A94" w:rsidP="008B4E7F">
      <w:pPr>
        <w:pStyle w:val="Ttulo1"/>
        <w:numPr>
          <w:ilvl w:val="0"/>
          <w:numId w:val="5"/>
        </w:numPr>
        <w:spacing w:line="240" w:lineRule="auto"/>
        <w:rPr>
          <w:rFonts w:asciiTheme="minorHAnsi" w:eastAsia="Cambria" w:hAnsiTheme="minorHAnsi" w:cstheme="minorHAnsi"/>
          <w:b/>
          <w:bCs/>
          <w:sz w:val="24"/>
          <w:szCs w:val="24"/>
          <w:lang w:val="es-ES"/>
        </w:rPr>
      </w:pPr>
      <w:r w:rsidRPr="008B4E7F">
        <w:rPr>
          <w:rFonts w:asciiTheme="minorHAnsi" w:eastAsia="Cambria" w:hAnsiTheme="minorHAnsi" w:cstheme="minorHAnsi"/>
          <w:b/>
          <w:bCs/>
          <w:sz w:val="24"/>
          <w:szCs w:val="24"/>
          <w:lang w:val="es-ES"/>
        </w:rPr>
        <w:t xml:space="preserve">El estudio ha sido publicado </w:t>
      </w:r>
      <w:hyperlink r:id="rId7" w:history="1">
        <w:r w:rsidRPr="00B738C4">
          <w:rPr>
            <w:rFonts w:asciiTheme="minorHAnsi" w:eastAsia="Cambria" w:hAnsiTheme="minorHAnsi" w:cstheme="minorHAnsi"/>
            <w:b/>
            <w:bCs/>
            <w:i/>
            <w:iCs/>
            <w:sz w:val="24"/>
            <w:szCs w:val="24"/>
            <w:lang w:val="es-ES"/>
          </w:rPr>
          <w:t>Psychological Medicine</w:t>
        </w:r>
      </w:hyperlink>
      <w:r w:rsidRPr="008B4E7F">
        <w:rPr>
          <w:rFonts w:asciiTheme="minorHAnsi" w:eastAsia="Cambria" w:hAnsiTheme="minorHAnsi" w:cstheme="minorHAnsi"/>
          <w:b/>
          <w:bCs/>
          <w:sz w:val="24"/>
          <w:szCs w:val="24"/>
          <w:lang w:val="es-ES"/>
        </w:rPr>
        <w:t xml:space="preserve"> </w:t>
      </w:r>
      <w:r w:rsidRPr="008B4E7F">
        <w:rPr>
          <w:rFonts w:asciiTheme="minorHAnsi" w:eastAsia="Cambria" w:hAnsiTheme="minorHAnsi" w:cstheme="minorHAnsi"/>
          <w:b/>
          <w:bCs/>
          <w:sz w:val="24"/>
          <w:szCs w:val="24"/>
          <w:lang w:val="es-ES"/>
        </w:rPr>
        <w:t>por investigadores de la UB y del CIBERSAM</w:t>
      </w:r>
    </w:p>
    <w:p w14:paraId="76A48742" w14:textId="77777777" w:rsidR="00444A94" w:rsidRPr="00444A94" w:rsidRDefault="00444A94" w:rsidP="00444A94">
      <w:pPr>
        <w:pStyle w:val="NormalWeb"/>
        <w:ind w:left="720"/>
        <w:jc w:val="both"/>
        <w:rPr>
          <w:rFonts w:ascii="Verdana" w:eastAsia="Times New Roman" w:hAnsi="Verdana"/>
          <w:b/>
          <w:bCs/>
          <w:sz w:val="20"/>
          <w:szCs w:val="20"/>
        </w:rPr>
      </w:pPr>
    </w:p>
    <w:p w14:paraId="31B2E07B" w14:textId="2584005F" w:rsidR="00AE30B1" w:rsidRDefault="001B31DF" w:rsidP="00AE30B1">
      <w:pPr>
        <w:pStyle w:val="NormalWeb"/>
        <w:jc w:val="both"/>
        <w:rPr>
          <w:rFonts w:ascii="Verdana" w:eastAsia="Times New Roman" w:hAnsi="Verdana"/>
          <w:sz w:val="20"/>
          <w:szCs w:val="20"/>
        </w:rPr>
      </w:pPr>
      <w:r>
        <w:rPr>
          <w:rFonts w:ascii="Verdana" w:hAnsi="Verdana"/>
          <w:b/>
          <w:bCs/>
          <w:sz w:val="20"/>
          <w:szCs w:val="20"/>
        </w:rPr>
        <w:t>Madrid</w:t>
      </w:r>
      <w:r w:rsidR="00AE30B1" w:rsidRPr="00B15718">
        <w:rPr>
          <w:rFonts w:ascii="Verdana" w:hAnsi="Verdana"/>
          <w:b/>
          <w:bCs/>
          <w:sz w:val="20"/>
          <w:szCs w:val="20"/>
        </w:rPr>
        <w:t>,</w:t>
      </w:r>
      <w:r w:rsidR="00AE30B1">
        <w:rPr>
          <w:rFonts w:ascii="Verdana" w:hAnsi="Verdana"/>
          <w:b/>
          <w:bCs/>
          <w:sz w:val="20"/>
          <w:szCs w:val="20"/>
        </w:rPr>
        <w:t xml:space="preserve"> 16 de septiembre de 2021</w:t>
      </w:r>
      <w:r w:rsidR="00AE30B1" w:rsidRPr="00B15718">
        <w:rPr>
          <w:rFonts w:ascii="Verdana" w:hAnsi="Verdana"/>
          <w:sz w:val="20"/>
          <w:szCs w:val="20"/>
        </w:rPr>
        <w:t xml:space="preserve">. </w:t>
      </w:r>
      <w:r w:rsidR="00AE30B1">
        <w:rPr>
          <w:rFonts w:ascii="Verdana" w:eastAsia="Times New Roman" w:hAnsi="Verdana"/>
          <w:sz w:val="20"/>
          <w:szCs w:val="20"/>
        </w:rPr>
        <w:t xml:space="preserve">Un artículo publicado en la </w:t>
      </w:r>
      <w:r w:rsidR="00AE30B1" w:rsidRPr="000624C1">
        <w:rPr>
          <w:rFonts w:ascii="Verdana" w:eastAsia="Times New Roman" w:hAnsi="Verdana"/>
          <w:sz w:val="20"/>
          <w:szCs w:val="20"/>
        </w:rPr>
        <w:t xml:space="preserve">revista </w:t>
      </w:r>
      <w:hyperlink r:id="rId8" w:history="1">
        <w:r w:rsidR="00AE30B1" w:rsidRPr="00444FCA">
          <w:rPr>
            <w:rStyle w:val="Hipervnculo"/>
            <w:rFonts w:ascii="Verdana" w:eastAsia="Times New Roman" w:hAnsi="Verdana"/>
            <w:i/>
            <w:iCs/>
            <w:sz w:val="20"/>
            <w:szCs w:val="20"/>
          </w:rPr>
          <w:t>Psychological Medicine</w:t>
        </w:r>
      </w:hyperlink>
      <w:r w:rsidR="00AE30B1">
        <w:rPr>
          <w:rFonts w:ascii="Verdana" w:eastAsia="Times New Roman" w:hAnsi="Verdana"/>
          <w:sz w:val="20"/>
          <w:szCs w:val="20"/>
        </w:rPr>
        <w:t xml:space="preserve"> corrobora</w:t>
      </w:r>
      <w:r w:rsidR="00AE30B1" w:rsidRPr="000624C1">
        <w:rPr>
          <w:rFonts w:ascii="Verdana" w:eastAsia="Times New Roman" w:hAnsi="Verdana"/>
          <w:sz w:val="20"/>
          <w:szCs w:val="20"/>
        </w:rPr>
        <w:t xml:space="preserve"> la existencia de alteraciones neurobiológicas en etapas tempranas del desarrollo en menores de edad expuestos a maltrato.</w:t>
      </w:r>
    </w:p>
    <w:p w14:paraId="365A8C80" w14:textId="77777777" w:rsidR="00AE30B1" w:rsidRPr="00345D7F" w:rsidRDefault="00AE30B1" w:rsidP="00AE30B1">
      <w:pPr>
        <w:pStyle w:val="NormalWeb"/>
        <w:jc w:val="both"/>
        <w:rPr>
          <w:rFonts w:ascii="Verdana" w:eastAsia="Times New Roman" w:hAnsi="Verdana"/>
          <w:sz w:val="20"/>
          <w:szCs w:val="20"/>
        </w:rPr>
      </w:pPr>
      <w:r>
        <w:rPr>
          <w:rFonts w:ascii="Verdana" w:eastAsia="Times New Roman" w:hAnsi="Verdana"/>
          <w:sz w:val="20"/>
          <w:szCs w:val="20"/>
        </w:rPr>
        <w:t xml:space="preserve">El trabajo tiene </w:t>
      </w:r>
      <w:r w:rsidRPr="00345D7F">
        <w:rPr>
          <w:rFonts w:ascii="Verdana" w:eastAsia="Times New Roman" w:hAnsi="Verdana"/>
          <w:sz w:val="20"/>
          <w:szCs w:val="20"/>
        </w:rPr>
        <w:t xml:space="preserve">como primera autora a la investigadora Laia Marques-Feixa, </w:t>
      </w:r>
      <w:r w:rsidRPr="0035014B">
        <w:rPr>
          <w:rFonts w:ascii="Verdana" w:eastAsia="Times New Roman" w:hAnsi="Verdana"/>
          <w:sz w:val="20"/>
          <w:szCs w:val="20"/>
        </w:rPr>
        <w:t xml:space="preserve">de la Facultad de Biología, del Instituto de Biomedicina de la UB (IBUB) y del CIBER de Salud Mental (CIBERSAM), </w:t>
      </w:r>
      <w:r w:rsidRPr="00345D7F">
        <w:rPr>
          <w:rFonts w:ascii="Verdana" w:eastAsia="Times New Roman" w:hAnsi="Verdana"/>
          <w:sz w:val="20"/>
          <w:szCs w:val="20"/>
        </w:rPr>
        <w:t xml:space="preserve">y ha sido desarrollado en colaboración con el EPI-Young-stress-Group del CIBERSAM. </w:t>
      </w:r>
    </w:p>
    <w:p w14:paraId="4ACCDEB8" w14:textId="5ED2A641" w:rsidR="00AE30B1" w:rsidRDefault="00B738C4" w:rsidP="00AE30B1">
      <w:pPr>
        <w:pStyle w:val="NormalWeb"/>
        <w:jc w:val="both"/>
        <w:rPr>
          <w:rFonts w:ascii="Verdana" w:eastAsia="Times New Roman" w:hAnsi="Verdana"/>
          <w:sz w:val="20"/>
          <w:szCs w:val="20"/>
        </w:rPr>
      </w:pPr>
      <w:r>
        <w:rPr>
          <w:rFonts w:ascii="Verdana" w:eastAsia="Times New Roman" w:hAnsi="Verdana"/>
          <w:i/>
          <w:iCs/>
          <w:sz w:val="20"/>
          <w:szCs w:val="20"/>
        </w:rPr>
        <w:t>“</w:t>
      </w:r>
      <w:r w:rsidR="00AE30B1" w:rsidRPr="00B738C4">
        <w:rPr>
          <w:rFonts w:ascii="Verdana" w:eastAsia="Times New Roman" w:hAnsi="Verdana"/>
          <w:i/>
          <w:iCs/>
          <w:sz w:val="20"/>
          <w:szCs w:val="20"/>
        </w:rPr>
        <w:t>Aquellos niños, niñas y adolescentes que han sufrido maltrato infantil por parte de adultos muestran alteraciones -ya en edades tempranas- en el eje Hipotálamo Hipofisario Adrenal (HHA), uno de los principales mecanismos biológicos de regulación del estrés. Además, se ha observado una relación dosis-efecto de manera que aquellos niños y niñas que han sufrido experiencias de maltrato más graves muestran mayores alteraciones en el funcionamiento de este eje</w:t>
      </w:r>
      <w:r>
        <w:rPr>
          <w:rFonts w:ascii="Verdana" w:eastAsia="Times New Roman" w:hAnsi="Verdana"/>
          <w:i/>
          <w:iCs/>
          <w:sz w:val="20"/>
          <w:szCs w:val="20"/>
        </w:rPr>
        <w:t>”</w:t>
      </w:r>
      <w:r w:rsidR="00AE30B1" w:rsidRPr="00B738C4">
        <w:rPr>
          <w:rFonts w:ascii="Verdana" w:eastAsia="Times New Roman" w:hAnsi="Verdana"/>
          <w:i/>
          <w:iCs/>
          <w:sz w:val="20"/>
          <w:szCs w:val="20"/>
        </w:rPr>
        <w:t>,</w:t>
      </w:r>
      <w:r w:rsidR="00AE30B1">
        <w:rPr>
          <w:rFonts w:ascii="Verdana" w:eastAsia="Times New Roman" w:hAnsi="Verdana"/>
          <w:sz w:val="20"/>
          <w:szCs w:val="20"/>
        </w:rPr>
        <w:t xml:space="preserve"> </w:t>
      </w:r>
      <w:r w:rsidR="00AE30B1" w:rsidRPr="000D5341">
        <w:rPr>
          <w:rFonts w:ascii="Verdana" w:eastAsia="Times New Roman" w:hAnsi="Verdana"/>
          <w:sz w:val="20"/>
          <w:szCs w:val="20"/>
        </w:rPr>
        <w:t xml:space="preserve">explica Laia Marqués, </w:t>
      </w:r>
      <w:r w:rsidR="00AE30B1">
        <w:rPr>
          <w:rFonts w:ascii="Verdana" w:eastAsia="Times New Roman" w:hAnsi="Verdana"/>
          <w:sz w:val="20"/>
          <w:szCs w:val="20"/>
        </w:rPr>
        <w:t xml:space="preserve">que es miembro </w:t>
      </w:r>
      <w:r w:rsidR="00AE30B1" w:rsidRPr="000D5341">
        <w:rPr>
          <w:rFonts w:ascii="Verdana" w:eastAsia="Times New Roman" w:hAnsi="Verdana"/>
          <w:sz w:val="20"/>
          <w:szCs w:val="20"/>
        </w:rPr>
        <w:t xml:space="preserve">del grupo </w:t>
      </w:r>
      <w:r w:rsidR="00AE30B1">
        <w:rPr>
          <w:rFonts w:ascii="Verdana" w:eastAsia="Times New Roman" w:hAnsi="Verdana"/>
          <w:sz w:val="20"/>
          <w:szCs w:val="20"/>
        </w:rPr>
        <w:t xml:space="preserve">de investigación </w:t>
      </w:r>
      <w:r w:rsidR="00AE30B1" w:rsidRPr="000D5341">
        <w:rPr>
          <w:rFonts w:ascii="Verdana" w:eastAsia="Times New Roman" w:hAnsi="Verdana"/>
          <w:sz w:val="20"/>
          <w:szCs w:val="20"/>
        </w:rPr>
        <w:t xml:space="preserve">que lidera </w:t>
      </w:r>
      <w:r w:rsidR="00AE30B1">
        <w:rPr>
          <w:rFonts w:ascii="Verdana" w:eastAsia="Times New Roman" w:hAnsi="Verdana"/>
          <w:sz w:val="20"/>
          <w:szCs w:val="20"/>
        </w:rPr>
        <w:t xml:space="preserve">la catedrática </w:t>
      </w:r>
      <w:r w:rsidR="00AE30B1" w:rsidRPr="00345D7F">
        <w:rPr>
          <w:rFonts w:ascii="Verdana" w:eastAsia="Times New Roman" w:hAnsi="Verdana"/>
          <w:sz w:val="20"/>
          <w:szCs w:val="20"/>
        </w:rPr>
        <w:t xml:space="preserve">Lourdes Fañanás Saura, </w:t>
      </w:r>
      <w:r w:rsidR="00AE30B1">
        <w:rPr>
          <w:rFonts w:ascii="Verdana" w:eastAsia="Times New Roman" w:hAnsi="Verdana"/>
          <w:sz w:val="20"/>
          <w:szCs w:val="20"/>
        </w:rPr>
        <w:t xml:space="preserve">del </w:t>
      </w:r>
      <w:r w:rsidR="00AE30B1" w:rsidRPr="00224AEA">
        <w:rPr>
          <w:rFonts w:ascii="Verdana" w:eastAsia="Times New Roman" w:hAnsi="Verdana"/>
          <w:sz w:val="20"/>
          <w:szCs w:val="20"/>
        </w:rPr>
        <w:t>Departament</w:t>
      </w:r>
      <w:r w:rsidR="00AE30B1">
        <w:rPr>
          <w:rFonts w:ascii="Verdana" w:eastAsia="Times New Roman" w:hAnsi="Verdana"/>
          <w:sz w:val="20"/>
          <w:szCs w:val="20"/>
        </w:rPr>
        <w:t>o de Biología Evolutiva, Ecología y Ciencias Ambientales de la Facultad de Biología de la UB</w:t>
      </w:r>
      <w:r w:rsidR="00A32542">
        <w:rPr>
          <w:rFonts w:ascii="Verdana" w:eastAsia="Times New Roman" w:hAnsi="Verdana"/>
          <w:sz w:val="20"/>
          <w:szCs w:val="20"/>
        </w:rPr>
        <w:t xml:space="preserve"> e </w:t>
      </w:r>
      <w:r w:rsidR="00A32542" w:rsidRPr="0035014B">
        <w:rPr>
          <w:rFonts w:ascii="Verdana" w:eastAsia="Times New Roman" w:hAnsi="Verdana"/>
          <w:sz w:val="20"/>
          <w:szCs w:val="20"/>
        </w:rPr>
        <w:t>investigadora principal del grupo del CIBERSAM</w:t>
      </w:r>
      <w:r w:rsidR="00AE30B1">
        <w:rPr>
          <w:rFonts w:ascii="Verdana" w:eastAsia="Times New Roman" w:hAnsi="Verdana"/>
          <w:sz w:val="20"/>
          <w:szCs w:val="20"/>
        </w:rPr>
        <w:t xml:space="preserve">. </w:t>
      </w:r>
      <w:r w:rsidR="00AE30B1" w:rsidRPr="00224AEA">
        <w:rPr>
          <w:rFonts w:ascii="Verdana" w:eastAsia="Times New Roman" w:hAnsi="Verdana"/>
          <w:sz w:val="20"/>
          <w:szCs w:val="20"/>
        </w:rPr>
        <w:t xml:space="preserve"> </w:t>
      </w:r>
    </w:p>
    <w:p w14:paraId="308918FA" w14:textId="77777777" w:rsidR="00AE30B1" w:rsidRPr="000D5341" w:rsidRDefault="00AE30B1" w:rsidP="00AE30B1">
      <w:pPr>
        <w:pStyle w:val="NormalWeb"/>
        <w:jc w:val="both"/>
        <w:rPr>
          <w:rFonts w:ascii="Verdana" w:eastAsia="Times New Roman" w:hAnsi="Verdana"/>
          <w:sz w:val="20"/>
          <w:szCs w:val="20"/>
        </w:rPr>
      </w:pPr>
      <w:r w:rsidRPr="000D5341">
        <w:rPr>
          <w:rFonts w:ascii="Verdana" w:eastAsia="Times New Roman" w:hAnsi="Verdana"/>
          <w:sz w:val="20"/>
          <w:szCs w:val="20"/>
        </w:rPr>
        <w:t>A diferencia de otros estudios, este trabajo</w:t>
      </w:r>
      <w:r>
        <w:rPr>
          <w:rFonts w:ascii="Verdana" w:eastAsia="Times New Roman" w:hAnsi="Verdana"/>
          <w:sz w:val="20"/>
          <w:szCs w:val="20"/>
        </w:rPr>
        <w:t xml:space="preserve"> </w:t>
      </w:r>
      <w:r w:rsidRPr="000D5341">
        <w:rPr>
          <w:rFonts w:ascii="Verdana" w:eastAsia="Times New Roman" w:hAnsi="Verdana"/>
          <w:sz w:val="20"/>
          <w:szCs w:val="20"/>
        </w:rPr>
        <w:t>también inclu</w:t>
      </w:r>
      <w:r>
        <w:rPr>
          <w:rFonts w:ascii="Verdana" w:eastAsia="Times New Roman" w:hAnsi="Verdana"/>
          <w:sz w:val="20"/>
          <w:szCs w:val="20"/>
        </w:rPr>
        <w:t>ye</w:t>
      </w:r>
      <w:r w:rsidRPr="000D5341">
        <w:rPr>
          <w:rFonts w:ascii="Verdana" w:eastAsia="Times New Roman" w:hAnsi="Verdana"/>
          <w:sz w:val="20"/>
          <w:szCs w:val="20"/>
        </w:rPr>
        <w:t xml:space="preserve"> la frecuencia de la exposición a maltrato como una variable de riesgo a tener en cuenta. </w:t>
      </w:r>
      <w:r w:rsidRPr="00345D7F">
        <w:rPr>
          <w:rFonts w:ascii="Verdana" w:eastAsia="Times New Roman" w:hAnsi="Verdana"/>
          <w:sz w:val="20"/>
          <w:szCs w:val="20"/>
        </w:rPr>
        <w:t xml:space="preserve">El trabajo demuestra que, en aquellos sujetos que habían estado expuestos a maltrato infantil durante más tiempo, existía </w:t>
      </w:r>
      <w:r w:rsidRPr="00345D7F">
        <w:rPr>
          <w:rFonts w:asciiTheme="majorHAnsi" w:hAnsiTheme="majorHAnsi" w:cstheme="majorHAnsi"/>
          <w:sz w:val="22"/>
          <w:szCs w:val="22"/>
        </w:rPr>
        <w:t>una mayor</w:t>
      </w:r>
      <w:r w:rsidRPr="00345D7F">
        <w:rPr>
          <w:rFonts w:ascii="Verdana" w:eastAsia="Times New Roman" w:hAnsi="Verdana"/>
          <w:sz w:val="20"/>
          <w:szCs w:val="20"/>
        </w:rPr>
        <w:t xml:space="preserve"> disfunción en el eje HHA, independientemente de la severidad de las experiencias sufridas. </w:t>
      </w:r>
      <w:r w:rsidRPr="00345D7F">
        <w:rPr>
          <w:rFonts w:ascii="Verdana" w:eastAsia="Times New Roman" w:hAnsi="Verdana"/>
          <w:sz w:val="20"/>
          <w:szCs w:val="20"/>
          <w:highlight w:val="darkGray"/>
        </w:rPr>
        <w:t xml:space="preserve">  </w:t>
      </w:r>
    </w:p>
    <w:p w14:paraId="16900A63" w14:textId="77777777" w:rsidR="00AE30B1" w:rsidRPr="00224AEA" w:rsidRDefault="00AE30B1" w:rsidP="00AE30B1">
      <w:pPr>
        <w:pStyle w:val="NormalWeb"/>
        <w:jc w:val="both"/>
        <w:rPr>
          <w:rFonts w:ascii="Verdana" w:eastAsia="Times New Roman" w:hAnsi="Verdana"/>
          <w:b/>
          <w:bCs/>
          <w:sz w:val="20"/>
          <w:szCs w:val="20"/>
        </w:rPr>
      </w:pPr>
      <w:r w:rsidRPr="00224AEA">
        <w:rPr>
          <w:rFonts w:ascii="Verdana" w:eastAsia="Times New Roman" w:hAnsi="Verdana"/>
          <w:b/>
          <w:bCs/>
          <w:sz w:val="20"/>
          <w:szCs w:val="20"/>
        </w:rPr>
        <w:t>Maltrato en la infancia y trastornos mentales</w:t>
      </w:r>
    </w:p>
    <w:p w14:paraId="2EEB2A18" w14:textId="4A1CAC6C" w:rsidR="00AE30B1" w:rsidRPr="000D5341" w:rsidRDefault="00AE30B1" w:rsidP="00AE30B1">
      <w:pPr>
        <w:pStyle w:val="NormalWeb"/>
        <w:jc w:val="both"/>
        <w:rPr>
          <w:rFonts w:ascii="Verdana" w:eastAsia="Times New Roman" w:hAnsi="Verdana"/>
          <w:sz w:val="20"/>
          <w:szCs w:val="20"/>
        </w:rPr>
      </w:pPr>
      <w:r w:rsidRPr="000D5341">
        <w:rPr>
          <w:rFonts w:ascii="Verdana" w:eastAsia="Times New Roman" w:hAnsi="Verdana"/>
          <w:sz w:val="20"/>
          <w:szCs w:val="20"/>
        </w:rPr>
        <w:t>Las experiencias de maltrato durante la infancia han sido clásicamente relacionadas con el desarrollo de trastornos mentales, tanto al principio de la vida como en la edad adulta. Asimismo, aquellas personas con diagn</w:t>
      </w:r>
      <w:r w:rsidR="00B738C4">
        <w:rPr>
          <w:rFonts w:ascii="Verdana" w:eastAsia="Times New Roman" w:hAnsi="Verdana"/>
          <w:sz w:val="20"/>
          <w:szCs w:val="20"/>
        </w:rPr>
        <w:t>ó</w:t>
      </w:r>
      <w:r w:rsidRPr="000D5341">
        <w:rPr>
          <w:rFonts w:ascii="Verdana" w:eastAsia="Times New Roman" w:hAnsi="Verdana"/>
          <w:sz w:val="20"/>
          <w:szCs w:val="20"/>
        </w:rPr>
        <w:t xml:space="preserve">stico psiquiátrico que refieren haber sufrido maltrato durante su infancia representan un subtipo de pacientes clínicamente distinto con peor pronóstico. </w:t>
      </w:r>
      <w:r>
        <w:rPr>
          <w:rFonts w:ascii="Verdana" w:eastAsia="Times New Roman" w:hAnsi="Verdana"/>
          <w:sz w:val="20"/>
          <w:szCs w:val="20"/>
        </w:rPr>
        <w:t>En concreto, s</w:t>
      </w:r>
      <w:r w:rsidRPr="000D5341">
        <w:rPr>
          <w:rFonts w:ascii="Verdana" w:eastAsia="Times New Roman" w:hAnsi="Verdana"/>
          <w:sz w:val="20"/>
          <w:szCs w:val="20"/>
        </w:rPr>
        <w:t xml:space="preserve">uelen tener un </w:t>
      </w:r>
      <w:r>
        <w:rPr>
          <w:rFonts w:ascii="Verdana" w:eastAsia="Times New Roman" w:hAnsi="Verdana"/>
          <w:sz w:val="20"/>
          <w:szCs w:val="20"/>
        </w:rPr>
        <w:t>inicio</w:t>
      </w:r>
      <w:r w:rsidRPr="000D5341">
        <w:rPr>
          <w:rFonts w:ascii="Verdana" w:eastAsia="Times New Roman" w:hAnsi="Verdana"/>
          <w:sz w:val="20"/>
          <w:szCs w:val="20"/>
        </w:rPr>
        <w:t xml:space="preserve"> más temprano del trastorno mental, una sintomatología más grave, mayor comorbilidad, peor respuesta al tratamiento psicológico y farmacológico, así como más tentativas suicidas y periodos más largos de hospitalización.</w:t>
      </w:r>
    </w:p>
    <w:p w14:paraId="0EBAA20E" w14:textId="2270617D" w:rsidR="00AE30B1" w:rsidRPr="000D5341" w:rsidRDefault="00B738C4" w:rsidP="00AE30B1">
      <w:pPr>
        <w:pStyle w:val="NormalWeb"/>
        <w:jc w:val="both"/>
        <w:rPr>
          <w:rFonts w:ascii="Verdana" w:eastAsia="Times New Roman" w:hAnsi="Verdana"/>
          <w:sz w:val="20"/>
          <w:szCs w:val="20"/>
        </w:rPr>
      </w:pPr>
      <w:r w:rsidRPr="00B738C4">
        <w:rPr>
          <w:rFonts w:ascii="Verdana" w:eastAsia="Times New Roman" w:hAnsi="Verdana"/>
          <w:i/>
          <w:iCs/>
          <w:sz w:val="20"/>
          <w:szCs w:val="20"/>
        </w:rPr>
        <w:lastRenderedPageBreak/>
        <w:t>“</w:t>
      </w:r>
      <w:r w:rsidR="00AE30B1" w:rsidRPr="00B738C4">
        <w:rPr>
          <w:rFonts w:ascii="Verdana" w:eastAsia="Times New Roman" w:hAnsi="Verdana"/>
          <w:i/>
          <w:iCs/>
          <w:sz w:val="20"/>
          <w:szCs w:val="20"/>
        </w:rPr>
        <w:t>Investigaciones anteriores en adultos constatan una clara relación dosis-efecto entre las experiencias adversas y el riesgo de trastorno mental</w:t>
      </w:r>
      <w:r w:rsidRPr="00B738C4">
        <w:rPr>
          <w:rFonts w:ascii="Verdana" w:eastAsia="Times New Roman" w:hAnsi="Verdana"/>
          <w:i/>
          <w:iCs/>
          <w:sz w:val="20"/>
          <w:szCs w:val="20"/>
        </w:rPr>
        <w:t>”</w:t>
      </w:r>
      <w:r w:rsidR="00AE30B1" w:rsidRPr="00B738C4">
        <w:rPr>
          <w:rFonts w:ascii="Verdana" w:eastAsia="Times New Roman" w:hAnsi="Verdana"/>
          <w:i/>
          <w:iCs/>
          <w:sz w:val="20"/>
          <w:szCs w:val="20"/>
        </w:rPr>
        <w:t>,</w:t>
      </w:r>
      <w:r w:rsidR="00AE30B1">
        <w:rPr>
          <w:rFonts w:ascii="Verdana" w:eastAsia="Times New Roman" w:hAnsi="Verdana"/>
          <w:sz w:val="20"/>
          <w:szCs w:val="20"/>
        </w:rPr>
        <w:t xml:space="preserve"> </w:t>
      </w:r>
      <w:r w:rsidR="00AE30B1" w:rsidRPr="0035014B">
        <w:rPr>
          <w:rFonts w:ascii="Verdana" w:eastAsia="Times New Roman" w:hAnsi="Verdana"/>
          <w:sz w:val="20"/>
          <w:szCs w:val="20"/>
        </w:rPr>
        <w:t>declara Lourdes Fañanás Saura</w:t>
      </w:r>
      <w:r w:rsidR="00A32542">
        <w:rPr>
          <w:rFonts w:ascii="Verdana" w:eastAsia="Times New Roman" w:hAnsi="Verdana"/>
          <w:sz w:val="20"/>
          <w:szCs w:val="20"/>
        </w:rPr>
        <w:t xml:space="preserve">. </w:t>
      </w:r>
      <w:r w:rsidRPr="00B738C4">
        <w:rPr>
          <w:rFonts w:ascii="Verdana" w:eastAsia="Times New Roman" w:hAnsi="Verdana"/>
          <w:i/>
          <w:iCs/>
          <w:sz w:val="20"/>
          <w:szCs w:val="20"/>
        </w:rPr>
        <w:t>“</w:t>
      </w:r>
      <w:r w:rsidR="00AE30B1" w:rsidRPr="00B738C4">
        <w:rPr>
          <w:rFonts w:ascii="Verdana" w:eastAsia="Times New Roman" w:hAnsi="Verdana"/>
          <w:i/>
          <w:iCs/>
          <w:sz w:val="20"/>
          <w:szCs w:val="20"/>
        </w:rPr>
        <w:t>Sin embargo los estudios en población infantojuvenil son más escasos y están centrados únicamente en los casos más graves, con niños y niñas atendidos por servicios de protección al menor</w:t>
      </w:r>
      <w:r w:rsidRPr="00B738C4">
        <w:rPr>
          <w:rFonts w:ascii="Verdana" w:eastAsia="Times New Roman" w:hAnsi="Verdana"/>
          <w:i/>
          <w:iCs/>
          <w:sz w:val="20"/>
          <w:szCs w:val="20"/>
        </w:rPr>
        <w:t>”</w:t>
      </w:r>
      <w:r w:rsidR="00AE30B1" w:rsidRPr="00B738C4">
        <w:rPr>
          <w:rFonts w:ascii="Verdana" w:eastAsia="Times New Roman" w:hAnsi="Verdana"/>
          <w:i/>
          <w:iCs/>
          <w:sz w:val="20"/>
          <w:szCs w:val="20"/>
        </w:rPr>
        <w:t>.</w:t>
      </w:r>
      <w:r w:rsidR="00AE30B1" w:rsidRPr="000D5341">
        <w:rPr>
          <w:rFonts w:ascii="Verdana" w:eastAsia="Times New Roman" w:hAnsi="Verdana"/>
          <w:sz w:val="20"/>
          <w:szCs w:val="20"/>
        </w:rPr>
        <w:t xml:space="preserve"> Además, los mecanismos neurobiológicos subyacentes a esta asociación permanecen en gran medida sin resolver.</w:t>
      </w:r>
    </w:p>
    <w:p w14:paraId="28E7A391" w14:textId="36E50527" w:rsidR="00AE30B1" w:rsidRPr="000D5341" w:rsidRDefault="00AE30B1" w:rsidP="00AE30B1">
      <w:pPr>
        <w:pStyle w:val="NormalWeb"/>
        <w:jc w:val="both"/>
        <w:rPr>
          <w:rFonts w:ascii="Verdana" w:eastAsia="Times New Roman" w:hAnsi="Verdana"/>
          <w:sz w:val="20"/>
          <w:szCs w:val="20"/>
        </w:rPr>
      </w:pPr>
      <w:r w:rsidRPr="000D5341">
        <w:rPr>
          <w:rFonts w:ascii="Verdana" w:eastAsia="Times New Roman" w:hAnsi="Verdana"/>
          <w:sz w:val="20"/>
          <w:szCs w:val="20"/>
        </w:rPr>
        <w:t xml:space="preserve">Las investigadoras explican que </w:t>
      </w:r>
      <w:r w:rsidR="00B738C4" w:rsidRPr="00B738C4">
        <w:rPr>
          <w:rFonts w:ascii="Verdana" w:eastAsia="Times New Roman" w:hAnsi="Verdana"/>
          <w:i/>
          <w:iCs/>
          <w:sz w:val="20"/>
          <w:szCs w:val="20"/>
        </w:rPr>
        <w:t>“</w:t>
      </w:r>
      <w:r w:rsidRPr="00B738C4">
        <w:rPr>
          <w:rFonts w:ascii="Verdana" w:eastAsia="Times New Roman" w:hAnsi="Verdana"/>
          <w:i/>
          <w:iCs/>
          <w:sz w:val="20"/>
          <w:szCs w:val="20"/>
        </w:rPr>
        <w:t>los niños, niñas y adolescentes con historia de maltrato expresan mayores niveles de ansiedad y muestran una hiperactivación en el funcionamiento basal diurno del eje HHA con unos niveles elevados de cortisol por la noche</w:t>
      </w:r>
      <w:r w:rsidR="00B738C4" w:rsidRPr="00B738C4">
        <w:rPr>
          <w:rFonts w:ascii="Verdana" w:eastAsia="Times New Roman" w:hAnsi="Verdana"/>
          <w:i/>
          <w:iCs/>
          <w:sz w:val="20"/>
          <w:szCs w:val="20"/>
        </w:rPr>
        <w:t>”</w:t>
      </w:r>
      <w:r w:rsidRPr="00345D7F">
        <w:rPr>
          <w:rFonts w:ascii="Verdana" w:eastAsia="Times New Roman" w:hAnsi="Verdana"/>
          <w:sz w:val="20"/>
          <w:szCs w:val="20"/>
        </w:rPr>
        <w:t xml:space="preserve">.  La hipercotisolemia es un factor de riesgo bien </w:t>
      </w:r>
      <w:r w:rsidRPr="000D5341">
        <w:rPr>
          <w:rFonts w:ascii="Verdana" w:eastAsia="Times New Roman" w:hAnsi="Verdana"/>
          <w:sz w:val="20"/>
          <w:szCs w:val="20"/>
        </w:rPr>
        <w:t xml:space="preserve">conocido y, según las autoras, </w:t>
      </w:r>
      <w:r w:rsidR="00B738C4" w:rsidRPr="00B738C4">
        <w:rPr>
          <w:rFonts w:ascii="Verdana" w:eastAsia="Times New Roman" w:hAnsi="Verdana"/>
          <w:i/>
          <w:iCs/>
          <w:sz w:val="20"/>
          <w:szCs w:val="20"/>
        </w:rPr>
        <w:t>“</w:t>
      </w:r>
      <w:r w:rsidRPr="00B738C4">
        <w:rPr>
          <w:rFonts w:ascii="Verdana" w:eastAsia="Times New Roman" w:hAnsi="Verdana"/>
          <w:i/>
          <w:iCs/>
          <w:sz w:val="20"/>
          <w:szCs w:val="20"/>
        </w:rPr>
        <w:t>podría suponer una hiperactivación del estado de vigilancia en estos infantes y adolescentes, provocando disfunciones en el ciclo de sueño-vigilia, entre otros efectos</w:t>
      </w:r>
      <w:r w:rsidR="00B738C4" w:rsidRPr="00B738C4">
        <w:rPr>
          <w:rFonts w:ascii="Verdana" w:eastAsia="Times New Roman" w:hAnsi="Verdana"/>
          <w:i/>
          <w:iCs/>
          <w:sz w:val="20"/>
          <w:szCs w:val="20"/>
        </w:rPr>
        <w:t>”</w:t>
      </w:r>
      <w:r w:rsidRPr="00B738C4">
        <w:rPr>
          <w:rFonts w:ascii="Verdana" w:eastAsia="Times New Roman" w:hAnsi="Verdana"/>
          <w:i/>
          <w:iCs/>
          <w:sz w:val="20"/>
          <w:szCs w:val="20"/>
        </w:rPr>
        <w:t>.</w:t>
      </w:r>
      <w:r>
        <w:rPr>
          <w:rFonts w:ascii="Verdana" w:eastAsia="Times New Roman" w:hAnsi="Verdana"/>
          <w:sz w:val="20"/>
          <w:szCs w:val="20"/>
        </w:rPr>
        <w:t xml:space="preserve"> </w:t>
      </w:r>
    </w:p>
    <w:p w14:paraId="597AB928" w14:textId="337765FF" w:rsidR="00AE30B1" w:rsidRPr="000D5341" w:rsidRDefault="00AE30B1" w:rsidP="00AE30B1">
      <w:pPr>
        <w:pStyle w:val="NormalWeb"/>
        <w:jc w:val="both"/>
        <w:rPr>
          <w:rFonts w:ascii="Verdana" w:eastAsia="Times New Roman" w:hAnsi="Verdana"/>
          <w:sz w:val="20"/>
          <w:szCs w:val="20"/>
        </w:rPr>
      </w:pPr>
      <w:r w:rsidRPr="000D5341">
        <w:rPr>
          <w:rFonts w:ascii="Verdana" w:eastAsia="Times New Roman" w:hAnsi="Verdana"/>
          <w:sz w:val="20"/>
          <w:szCs w:val="20"/>
        </w:rPr>
        <w:t xml:space="preserve">En este trabajo han participado niños, niñas y adolescentes </w:t>
      </w:r>
      <w:r>
        <w:rPr>
          <w:rFonts w:ascii="Verdana" w:eastAsia="Times New Roman" w:hAnsi="Verdana"/>
          <w:sz w:val="20"/>
          <w:szCs w:val="20"/>
        </w:rPr>
        <w:t xml:space="preserve">con y sin </w:t>
      </w:r>
      <w:r w:rsidRPr="000D5341">
        <w:rPr>
          <w:rFonts w:ascii="Verdana" w:eastAsia="Times New Roman" w:hAnsi="Verdana"/>
          <w:sz w:val="20"/>
          <w:szCs w:val="20"/>
        </w:rPr>
        <w:t xml:space="preserve">trastornos mentales, expuestos y no expuestos a maltrato infantil. Los participantes fueron estudiados mediante el </w:t>
      </w:r>
      <w:r w:rsidRPr="000853FB">
        <w:rPr>
          <w:rFonts w:ascii="Verdana" w:eastAsia="Times New Roman" w:hAnsi="Verdana"/>
          <w:i/>
          <w:iCs/>
          <w:sz w:val="20"/>
          <w:szCs w:val="20"/>
        </w:rPr>
        <w:t>Trier Social Stress Test</w:t>
      </w:r>
      <w:r w:rsidRPr="000D5341">
        <w:rPr>
          <w:rFonts w:ascii="Verdana" w:eastAsia="Times New Roman" w:hAnsi="Verdana"/>
          <w:sz w:val="20"/>
          <w:szCs w:val="20"/>
        </w:rPr>
        <w:t xml:space="preserve"> (TSST-C), una prueba de estrés agudo que permite explorar la reactividad del eje HHA frente situaciones de estrés psicosocial. Tal y como indican las investigadoras de</w:t>
      </w:r>
      <w:r>
        <w:rPr>
          <w:rFonts w:ascii="Verdana" w:eastAsia="Times New Roman" w:hAnsi="Verdana"/>
          <w:sz w:val="20"/>
          <w:szCs w:val="20"/>
        </w:rPr>
        <w:t xml:space="preserve"> la UB y del</w:t>
      </w:r>
      <w:r w:rsidRPr="000D5341">
        <w:rPr>
          <w:rFonts w:ascii="Verdana" w:eastAsia="Times New Roman" w:hAnsi="Verdana"/>
          <w:sz w:val="20"/>
          <w:szCs w:val="20"/>
        </w:rPr>
        <w:t xml:space="preserve"> CIBERSAM, </w:t>
      </w:r>
      <w:r w:rsidR="00AA0482">
        <w:rPr>
          <w:rFonts w:ascii="Verdana" w:eastAsia="Times New Roman" w:hAnsi="Verdana"/>
          <w:i/>
          <w:iCs/>
          <w:sz w:val="20"/>
          <w:szCs w:val="20"/>
        </w:rPr>
        <w:t>“</w:t>
      </w:r>
      <w:r w:rsidRPr="00AA0482">
        <w:rPr>
          <w:rFonts w:ascii="Verdana" w:eastAsia="Times New Roman" w:hAnsi="Verdana"/>
          <w:i/>
          <w:iCs/>
          <w:sz w:val="20"/>
          <w:szCs w:val="20"/>
        </w:rPr>
        <w:t>mientras que los participantes sin historia de maltrato (con o sin psicopatología) tenían un aumento de los niveles de cortisol después del estresor agudo (como era de esperar), los niños/as y adolescentes con historia de maltrato mostraron un eje HHA aplanado e hiporeactivo, frente al factor estresor</w:t>
      </w:r>
      <w:r w:rsidR="00AA0482">
        <w:rPr>
          <w:rFonts w:ascii="Verdana" w:eastAsia="Times New Roman" w:hAnsi="Verdana"/>
          <w:sz w:val="20"/>
          <w:szCs w:val="20"/>
        </w:rPr>
        <w:t>”</w:t>
      </w:r>
      <w:r>
        <w:rPr>
          <w:rFonts w:ascii="Verdana" w:eastAsia="Times New Roman" w:hAnsi="Verdana"/>
          <w:sz w:val="20"/>
          <w:szCs w:val="20"/>
        </w:rPr>
        <w:t xml:space="preserve">. </w:t>
      </w:r>
    </w:p>
    <w:p w14:paraId="541E184F" w14:textId="3BAA72BF" w:rsidR="00AE30B1" w:rsidRPr="000D5341" w:rsidRDefault="00AA0482" w:rsidP="00AE30B1">
      <w:pPr>
        <w:pStyle w:val="NormalWeb"/>
        <w:jc w:val="both"/>
        <w:rPr>
          <w:rFonts w:ascii="Verdana" w:eastAsia="Times New Roman" w:hAnsi="Verdana"/>
          <w:sz w:val="20"/>
          <w:szCs w:val="20"/>
        </w:rPr>
      </w:pPr>
      <w:r w:rsidRPr="00AA0482">
        <w:rPr>
          <w:rFonts w:ascii="Verdana" w:eastAsia="Times New Roman" w:hAnsi="Verdana"/>
          <w:i/>
          <w:iCs/>
          <w:sz w:val="20"/>
          <w:szCs w:val="20"/>
        </w:rPr>
        <w:t>“</w:t>
      </w:r>
      <w:r w:rsidR="00AE30B1" w:rsidRPr="00AA0482">
        <w:rPr>
          <w:rFonts w:ascii="Verdana" w:eastAsia="Times New Roman" w:hAnsi="Verdana"/>
          <w:i/>
          <w:iCs/>
          <w:sz w:val="20"/>
          <w:szCs w:val="20"/>
        </w:rPr>
        <w:t xml:space="preserve">Estos niños/as, sin embargo, manifestaban niveles de ansiedad elevados, mostrando una clara disociación entre su percepción subjetiva de estrés y su respuesta biológica. Esta falta de plasticidad en los sistemas biológicos podría tener implicaciones clínicas importantes, dificultando la capacidad de manejar y activar procesos internos para hacer frente a situaciones de estrés futuras de forma óptima constituyendo, por tanto, un factor de riesgo para desarrollar trastornos de la conducta o distintas psicopatologías" </w:t>
      </w:r>
      <w:r w:rsidR="00AE30B1" w:rsidRPr="00345D7F">
        <w:rPr>
          <w:rFonts w:ascii="Verdana" w:eastAsia="Times New Roman" w:hAnsi="Verdana"/>
          <w:sz w:val="20"/>
          <w:szCs w:val="20"/>
        </w:rPr>
        <w:t>concluyen</w:t>
      </w:r>
      <w:r w:rsidR="00AE30B1" w:rsidRPr="000D5341">
        <w:rPr>
          <w:rFonts w:ascii="Verdana" w:eastAsia="Times New Roman" w:hAnsi="Verdana"/>
          <w:sz w:val="20"/>
          <w:szCs w:val="20"/>
        </w:rPr>
        <w:t>.</w:t>
      </w:r>
    </w:p>
    <w:p w14:paraId="2197744E" w14:textId="77777777" w:rsidR="00AE30B1" w:rsidRPr="000853FB" w:rsidRDefault="00AE30B1" w:rsidP="00AE30B1">
      <w:pPr>
        <w:pStyle w:val="NormalWeb"/>
        <w:jc w:val="both"/>
        <w:rPr>
          <w:rFonts w:ascii="Verdana" w:eastAsia="Times New Roman" w:hAnsi="Verdana"/>
          <w:b/>
          <w:bCs/>
          <w:sz w:val="20"/>
          <w:szCs w:val="20"/>
        </w:rPr>
      </w:pPr>
      <w:r w:rsidRPr="000853FB">
        <w:rPr>
          <w:rFonts w:ascii="Verdana" w:eastAsia="Times New Roman" w:hAnsi="Verdana"/>
          <w:b/>
          <w:bCs/>
          <w:sz w:val="20"/>
          <w:szCs w:val="20"/>
        </w:rPr>
        <w:t>Un problema de salud global a considerar en la historia clínica</w:t>
      </w:r>
    </w:p>
    <w:p w14:paraId="4A559380" w14:textId="5DAF9E87" w:rsidR="00AE30B1" w:rsidRPr="00FF2A64" w:rsidRDefault="00AE30B1" w:rsidP="00AE30B1">
      <w:pPr>
        <w:pStyle w:val="NormalWeb"/>
        <w:jc w:val="both"/>
        <w:rPr>
          <w:rFonts w:ascii="Verdana" w:eastAsia="Times New Roman" w:hAnsi="Verdana"/>
          <w:color w:val="FF0000"/>
          <w:sz w:val="20"/>
          <w:szCs w:val="20"/>
        </w:rPr>
      </w:pPr>
      <w:r w:rsidRPr="000D5341">
        <w:rPr>
          <w:rFonts w:ascii="Verdana" w:eastAsia="Times New Roman" w:hAnsi="Verdana"/>
          <w:sz w:val="20"/>
          <w:szCs w:val="20"/>
        </w:rPr>
        <w:t>El maltrato infantil es un reconocido problema de salud global</w:t>
      </w:r>
      <w:r>
        <w:rPr>
          <w:rFonts w:ascii="Verdana" w:eastAsia="Times New Roman" w:hAnsi="Verdana"/>
          <w:sz w:val="20"/>
          <w:szCs w:val="20"/>
        </w:rPr>
        <w:t xml:space="preserve"> que está </w:t>
      </w:r>
      <w:r w:rsidRPr="000D5341">
        <w:rPr>
          <w:rFonts w:ascii="Verdana" w:eastAsia="Times New Roman" w:hAnsi="Verdana"/>
          <w:sz w:val="20"/>
          <w:szCs w:val="20"/>
        </w:rPr>
        <w:t>asociado también a muchos otros problemas médicos. Considerar las experiencias de maltrato en la historia clínica de los pacientes debería</w:t>
      </w:r>
      <w:r>
        <w:rPr>
          <w:rFonts w:ascii="Verdana" w:eastAsia="Times New Roman" w:hAnsi="Verdana"/>
          <w:sz w:val="20"/>
          <w:szCs w:val="20"/>
        </w:rPr>
        <w:t xml:space="preserve"> ser un punto a tener en cuenta, </w:t>
      </w:r>
      <w:r w:rsidRPr="000D5341">
        <w:rPr>
          <w:rFonts w:ascii="Verdana" w:eastAsia="Times New Roman" w:hAnsi="Verdana"/>
          <w:sz w:val="20"/>
          <w:szCs w:val="20"/>
        </w:rPr>
        <w:t xml:space="preserve">especialmente en los niños/as y adolescentes expuestos a trauma </w:t>
      </w:r>
      <w:r w:rsidRPr="00345D7F">
        <w:rPr>
          <w:rFonts w:ascii="Verdana" w:eastAsia="Times New Roman" w:hAnsi="Verdana"/>
          <w:sz w:val="20"/>
          <w:szCs w:val="20"/>
        </w:rPr>
        <w:t>complejo, ya que explicará aspectos esenciales de la respuesta al tratamiento y curso de la enfermedad. La detección y prevención temprana del maltrato infantil debería ser un objetivo contemplado en los sistemas educativos y sanitarios y tambi</w:t>
      </w:r>
      <w:r w:rsidR="00AA0482">
        <w:rPr>
          <w:rFonts w:ascii="Verdana" w:eastAsia="Times New Roman" w:hAnsi="Verdana"/>
          <w:sz w:val="20"/>
          <w:szCs w:val="20"/>
        </w:rPr>
        <w:t>é</w:t>
      </w:r>
      <w:r w:rsidRPr="00345D7F">
        <w:rPr>
          <w:rFonts w:ascii="Verdana" w:eastAsia="Times New Roman" w:hAnsi="Verdana"/>
          <w:sz w:val="20"/>
          <w:szCs w:val="20"/>
        </w:rPr>
        <w:t>n un motivo de preocupación de toda la sociedad</w:t>
      </w:r>
      <w:r w:rsidRPr="00FF2A64">
        <w:rPr>
          <w:rFonts w:ascii="Verdana" w:eastAsia="Times New Roman" w:hAnsi="Verdana"/>
          <w:color w:val="FF0000"/>
          <w:sz w:val="20"/>
          <w:szCs w:val="20"/>
        </w:rPr>
        <w:t>.</w:t>
      </w:r>
    </w:p>
    <w:p w14:paraId="5008740F" w14:textId="6778ACA2" w:rsidR="00AE30B1" w:rsidRPr="000D5341" w:rsidRDefault="00AE30B1" w:rsidP="00AE30B1">
      <w:pPr>
        <w:pStyle w:val="NormalWeb"/>
        <w:jc w:val="both"/>
        <w:rPr>
          <w:rFonts w:ascii="Verdana" w:eastAsia="Times New Roman" w:hAnsi="Verdana"/>
          <w:sz w:val="20"/>
          <w:szCs w:val="20"/>
        </w:rPr>
      </w:pPr>
      <w:r w:rsidRPr="00345D7F">
        <w:rPr>
          <w:rFonts w:ascii="Verdana" w:eastAsia="Times New Roman" w:hAnsi="Verdana"/>
          <w:sz w:val="20"/>
          <w:szCs w:val="20"/>
        </w:rPr>
        <w:t xml:space="preserve">Esta investigación se enmarca en un proyecto financiado por el Instituto de </w:t>
      </w:r>
      <w:r w:rsidR="00AA0482">
        <w:rPr>
          <w:rFonts w:ascii="Verdana" w:eastAsia="Times New Roman" w:hAnsi="Verdana"/>
          <w:sz w:val="20"/>
          <w:szCs w:val="20"/>
        </w:rPr>
        <w:t>S</w:t>
      </w:r>
      <w:r w:rsidRPr="00345D7F">
        <w:rPr>
          <w:rFonts w:ascii="Verdana" w:eastAsia="Times New Roman" w:hAnsi="Verdana"/>
          <w:sz w:val="20"/>
          <w:szCs w:val="20"/>
        </w:rPr>
        <w:t xml:space="preserve">alud Carlos III y liderado por la catedrática Lourdes Fañanás Saura de la Universitat de Barcelona. Este estudio se ha desarrollado en </w:t>
      </w:r>
      <w:r w:rsidRPr="000D5341">
        <w:rPr>
          <w:rFonts w:ascii="Verdana" w:eastAsia="Times New Roman" w:hAnsi="Verdana"/>
          <w:sz w:val="20"/>
          <w:szCs w:val="20"/>
        </w:rPr>
        <w:t>colaboración con investigadores de seis unidades de psiquiatría infanto-juvenil: Hospital Benito Menni de Sant Boi, Hospital de Cl</w:t>
      </w:r>
      <w:r w:rsidR="00917CE1">
        <w:rPr>
          <w:rFonts w:ascii="Verdana" w:eastAsia="Times New Roman" w:hAnsi="Verdana"/>
          <w:sz w:val="20"/>
          <w:szCs w:val="20"/>
        </w:rPr>
        <w:t>í</w:t>
      </w:r>
      <w:r w:rsidRPr="000D5341">
        <w:rPr>
          <w:rFonts w:ascii="Verdana" w:eastAsia="Times New Roman" w:hAnsi="Verdana"/>
          <w:sz w:val="20"/>
          <w:szCs w:val="20"/>
        </w:rPr>
        <w:t>nic de Barcelona, Hospital Gregorio Marañón de Madrid, Hospital Puerta de Hierro de Majadahonda, Hospital Santiago Apóstol de Vitoria y Hospital de día para adolescentes Orienta de Gavà.</w:t>
      </w:r>
    </w:p>
    <w:p w14:paraId="764F485B" w14:textId="7E75BF2D" w:rsidR="00B738C4" w:rsidRDefault="00B738C4" w:rsidP="00AE30B1">
      <w:pPr>
        <w:pStyle w:val="NormalWeb"/>
        <w:jc w:val="both"/>
        <w:rPr>
          <w:rFonts w:ascii="Verdana" w:eastAsia="Times New Roman" w:hAnsi="Verdana"/>
          <w:b/>
          <w:bCs/>
          <w:sz w:val="20"/>
          <w:szCs w:val="20"/>
        </w:rPr>
      </w:pPr>
    </w:p>
    <w:p w14:paraId="0DB96B5E" w14:textId="77777777" w:rsidR="00B738C4" w:rsidRDefault="00B738C4" w:rsidP="00AE30B1">
      <w:pPr>
        <w:pStyle w:val="NormalWeb"/>
        <w:jc w:val="both"/>
        <w:rPr>
          <w:rFonts w:ascii="Verdana" w:eastAsia="Times New Roman" w:hAnsi="Verdana"/>
          <w:b/>
          <w:bCs/>
          <w:sz w:val="20"/>
          <w:szCs w:val="20"/>
        </w:rPr>
      </w:pPr>
    </w:p>
    <w:p w14:paraId="6F594621" w14:textId="5A97D453" w:rsidR="00AE30B1" w:rsidRPr="00284BBD" w:rsidRDefault="00AE30B1" w:rsidP="00AE30B1">
      <w:pPr>
        <w:pStyle w:val="NormalWeb"/>
        <w:jc w:val="both"/>
        <w:rPr>
          <w:rFonts w:ascii="Verdana" w:eastAsia="Times New Roman" w:hAnsi="Verdana"/>
          <w:b/>
          <w:bCs/>
          <w:sz w:val="20"/>
          <w:szCs w:val="20"/>
        </w:rPr>
      </w:pPr>
      <w:r w:rsidRPr="00284BBD">
        <w:rPr>
          <w:rFonts w:ascii="Verdana" w:eastAsia="Times New Roman" w:hAnsi="Verdana"/>
          <w:b/>
          <w:bCs/>
          <w:sz w:val="20"/>
          <w:szCs w:val="20"/>
        </w:rPr>
        <w:t>Artículo de referencia:</w:t>
      </w:r>
    </w:p>
    <w:p w14:paraId="4EE4424B" w14:textId="77777777" w:rsidR="00AE30B1" w:rsidRDefault="00AE30B1" w:rsidP="00AE30B1">
      <w:pPr>
        <w:pStyle w:val="NormalWeb"/>
        <w:jc w:val="both"/>
        <w:rPr>
          <w:rFonts w:ascii="Verdana" w:eastAsia="Times New Roman" w:hAnsi="Verdana"/>
          <w:sz w:val="20"/>
          <w:szCs w:val="20"/>
        </w:rPr>
      </w:pPr>
      <w:r w:rsidRPr="000853FB">
        <w:rPr>
          <w:rFonts w:ascii="Verdana" w:eastAsia="Times New Roman" w:hAnsi="Verdana"/>
          <w:sz w:val="20"/>
          <w:szCs w:val="20"/>
        </w:rPr>
        <w:t xml:space="preserve">Marques-Feixa, </w:t>
      </w:r>
      <w:r>
        <w:rPr>
          <w:rFonts w:ascii="Verdana" w:eastAsia="Times New Roman" w:hAnsi="Verdana"/>
          <w:sz w:val="20"/>
          <w:szCs w:val="20"/>
        </w:rPr>
        <w:t xml:space="preserve">L.; </w:t>
      </w:r>
      <w:r w:rsidRPr="000853FB">
        <w:rPr>
          <w:rFonts w:ascii="Verdana" w:eastAsia="Times New Roman" w:hAnsi="Verdana"/>
          <w:sz w:val="20"/>
          <w:szCs w:val="20"/>
        </w:rPr>
        <w:t xml:space="preserve">Palma-Gudiel, </w:t>
      </w:r>
      <w:r>
        <w:rPr>
          <w:rFonts w:ascii="Verdana" w:eastAsia="Times New Roman" w:hAnsi="Verdana"/>
          <w:sz w:val="20"/>
          <w:szCs w:val="20"/>
        </w:rPr>
        <w:t xml:space="preserve">H.; </w:t>
      </w:r>
      <w:r w:rsidRPr="000853FB">
        <w:rPr>
          <w:rFonts w:ascii="Verdana" w:eastAsia="Times New Roman" w:hAnsi="Verdana"/>
          <w:sz w:val="20"/>
          <w:szCs w:val="20"/>
        </w:rPr>
        <w:t xml:space="preserve">Romero, </w:t>
      </w:r>
      <w:r>
        <w:rPr>
          <w:rFonts w:ascii="Verdana" w:eastAsia="Times New Roman" w:hAnsi="Verdana"/>
          <w:sz w:val="20"/>
          <w:szCs w:val="20"/>
        </w:rPr>
        <w:t xml:space="preserve">S.; </w:t>
      </w:r>
      <w:r w:rsidRPr="000853FB">
        <w:rPr>
          <w:rFonts w:ascii="Verdana" w:eastAsia="Times New Roman" w:hAnsi="Verdana"/>
          <w:sz w:val="20"/>
          <w:szCs w:val="20"/>
        </w:rPr>
        <w:t xml:space="preserve">Moya-Higueras, </w:t>
      </w:r>
      <w:r>
        <w:rPr>
          <w:rFonts w:ascii="Verdana" w:eastAsia="Times New Roman" w:hAnsi="Verdana"/>
          <w:sz w:val="20"/>
          <w:szCs w:val="20"/>
        </w:rPr>
        <w:t xml:space="preserve">J.; </w:t>
      </w:r>
      <w:r w:rsidRPr="000853FB">
        <w:rPr>
          <w:rFonts w:ascii="Verdana" w:eastAsia="Times New Roman" w:hAnsi="Verdana"/>
          <w:sz w:val="20"/>
          <w:szCs w:val="20"/>
        </w:rPr>
        <w:t>Rapado-Castro,</w:t>
      </w:r>
      <w:r>
        <w:rPr>
          <w:rFonts w:ascii="Verdana" w:eastAsia="Times New Roman" w:hAnsi="Verdana"/>
          <w:sz w:val="20"/>
          <w:szCs w:val="20"/>
        </w:rPr>
        <w:t xml:space="preserve"> M.;</w:t>
      </w:r>
      <w:r w:rsidRPr="000853FB">
        <w:rPr>
          <w:rFonts w:ascii="Verdana" w:eastAsia="Times New Roman" w:hAnsi="Verdana"/>
          <w:sz w:val="20"/>
          <w:szCs w:val="20"/>
        </w:rPr>
        <w:t xml:space="preserve"> Castro-Quintas, </w:t>
      </w:r>
      <w:r>
        <w:rPr>
          <w:rFonts w:ascii="Verdana" w:eastAsia="Times New Roman" w:hAnsi="Verdana"/>
          <w:sz w:val="20"/>
          <w:szCs w:val="20"/>
        </w:rPr>
        <w:t xml:space="preserve">A.; </w:t>
      </w:r>
      <w:r w:rsidRPr="000853FB">
        <w:rPr>
          <w:rFonts w:ascii="Verdana" w:eastAsia="Times New Roman" w:hAnsi="Verdana"/>
          <w:sz w:val="20"/>
          <w:szCs w:val="20"/>
        </w:rPr>
        <w:t xml:space="preserve">Zorrilla, </w:t>
      </w:r>
      <w:r>
        <w:rPr>
          <w:rFonts w:ascii="Verdana" w:eastAsia="Times New Roman" w:hAnsi="Verdana"/>
          <w:sz w:val="20"/>
          <w:szCs w:val="20"/>
        </w:rPr>
        <w:t xml:space="preserve">I.; </w:t>
      </w:r>
      <w:r w:rsidRPr="000853FB">
        <w:rPr>
          <w:rFonts w:ascii="Verdana" w:eastAsia="Times New Roman" w:hAnsi="Verdana"/>
          <w:sz w:val="20"/>
          <w:szCs w:val="20"/>
        </w:rPr>
        <w:t xml:space="preserve">Muñoz, </w:t>
      </w:r>
      <w:r>
        <w:rPr>
          <w:rFonts w:ascii="Verdana" w:eastAsia="Times New Roman" w:hAnsi="Verdana"/>
          <w:sz w:val="20"/>
          <w:szCs w:val="20"/>
        </w:rPr>
        <w:t>M. J;</w:t>
      </w:r>
      <w:r w:rsidRPr="000853FB">
        <w:rPr>
          <w:rFonts w:ascii="Verdana" w:eastAsia="Times New Roman" w:hAnsi="Verdana"/>
          <w:sz w:val="20"/>
          <w:szCs w:val="20"/>
        </w:rPr>
        <w:t xml:space="preserve"> Ramírez, </w:t>
      </w:r>
      <w:r>
        <w:rPr>
          <w:rFonts w:ascii="Verdana" w:eastAsia="Times New Roman" w:hAnsi="Verdana"/>
          <w:sz w:val="20"/>
          <w:szCs w:val="20"/>
        </w:rPr>
        <w:t xml:space="preserve">M.; </w:t>
      </w:r>
      <w:r w:rsidRPr="000853FB">
        <w:rPr>
          <w:rFonts w:ascii="Verdana" w:eastAsia="Times New Roman" w:hAnsi="Verdana"/>
          <w:sz w:val="20"/>
          <w:szCs w:val="20"/>
        </w:rPr>
        <w:t xml:space="preserve"> Mayoral, </w:t>
      </w:r>
      <w:r>
        <w:rPr>
          <w:rFonts w:ascii="Verdana" w:eastAsia="Times New Roman" w:hAnsi="Verdana"/>
          <w:sz w:val="20"/>
          <w:szCs w:val="20"/>
        </w:rPr>
        <w:t xml:space="preserve">M.; </w:t>
      </w:r>
      <w:r w:rsidRPr="000853FB">
        <w:rPr>
          <w:rFonts w:ascii="Verdana" w:eastAsia="Times New Roman" w:hAnsi="Verdana"/>
          <w:sz w:val="20"/>
          <w:szCs w:val="20"/>
        </w:rPr>
        <w:t xml:space="preserve">Mas, </w:t>
      </w:r>
      <w:r>
        <w:rPr>
          <w:rFonts w:ascii="Verdana" w:eastAsia="Times New Roman" w:hAnsi="Verdana"/>
          <w:sz w:val="20"/>
          <w:szCs w:val="20"/>
        </w:rPr>
        <w:t xml:space="preserve">A.; </w:t>
      </w:r>
      <w:r w:rsidRPr="000853FB">
        <w:rPr>
          <w:rFonts w:ascii="Verdana" w:eastAsia="Times New Roman" w:hAnsi="Verdana"/>
          <w:sz w:val="20"/>
          <w:szCs w:val="20"/>
        </w:rPr>
        <w:t xml:space="preserve">Lobato, </w:t>
      </w:r>
      <w:r>
        <w:rPr>
          <w:rFonts w:ascii="Verdana" w:eastAsia="Times New Roman" w:hAnsi="Verdana"/>
          <w:sz w:val="20"/>
          <w:szCs w:val="20"/>
        </w:rPr>
        <w:t xml:space="preserve">M.  </w:t>
      </w:r>
      <w:r w:rsidRPr="001825DC">
        <w:rPr>
          <w:rFonts w:ascii="Verdana" w:eastAsia="Times New Roman" w:hAnsi="Verdana"/>
          <w:sz w:val="20"/>
          <w:szCs w:val="20"/>
          <w:lang w:val="en-US"/>
        </w:rPr>
        <w:t>J.; Blasco-Fontecilla, H.; Fañanás, L.; EPI-Young Stress GROUP. «</w:t>
      </w:r>
      <w:hyperlink r:id="rId9" w:history="1">
        <w:r w:rsidRPr="00444FCA">
          <w:rPr>
            <w:rStyle w:val="Hipervnculo"/>
            <w:rFonts w:ascii="Verdana" w:eastAsia="Times New Roman" w:hAnsi="Verdana"/>
            <w:sz w:val="20"/>
            <w:szCs w:val="20"/>
            <w:lang w:val="en-US"/>
          </w:rPr>
          <w:t>Childhood maltreatment disrupts HPA-axis activity under basal and stress conditions in a dose–response relationship in children and adolescents</w:t>
        </w:r>
      </w:hyperlink>
      <w:r w:rsidRPr="001825DC">
        <w:rPr>
          <w:rFonts w:ascii="Verdana" w:eastAsia="Times New Roman" w:hAnsi="Verdana"/>
          <w:sz w:val="20"/>
          <w:szCs w:val="20"/>
          <w:lang w:val="en-US"/>
        </w:rPr>
        <w:t xml:space="preserve">». </w:t>
      </w:r>
      <w:r w:rsidRPr="00284BBD">
        <w:rPr>
          <w:rFonts w:ascii="Verdana" w:eastAsia="Times New Roman" w:hAnsi="Verdana"/>
          <w:i/>
          <w:iCs/>
          <w:sz w:val="20"/>
          <w:szCs w:val="20"/>
        </w:rPr>
        <w:t>Psychological Medicine</w:t>
      </w:r>
      <w:r>
        <w:rPr>
          <w:rFonts w:ascii="Verdana" w:eastAsia="Times New Roman" w:hAnsi="Verdana"/>
          <w:sz w:val="20"/>
          <w:szCs w:val="20"/>
        </w:rPr>
        <w:t xml:space="preserve">, julio de 2021. </w:t>
      </w:r>
      <w:r w:rsidRPr="000D5341">
        <w:rPr>
          <w:rFonts w:ascii="Verdana" w:eastAsia="Times New Roman" w:hAnsi="Verdana"/>
          <w:sz w:val="20"/>
          <w:szCs w:val="20"/>
        </w:rPr>
        <w:t>DOI:10.1017/S003329172100249X</w:t>
      </w:r>
    </w:p>
    <w:p w14:paraId="10B2E3C9" w14:textId="77777777" w:rsidR="005A7D07" w:rsidRDefault="005A7D07" w:rsidP="00AE30B1">
      <w:pPr>
        <w:rPr>
          <w:rFonts w:ascii="Cambria" w:eastAsia="Times New Roman" w:hAnsi="Cambria" w:cs="Times New Roman"/>
          <w:b/>
          <w:kern w:val="1"/>
          <w:sz w:val="28"/>
          <w:szCs w:val="28"/>
        </w:rPr>
      </w:pPr>
    </w:p>
    <w:p w14:paraId="6A9FD88B" w14:textId="77777777" w:rsidR="00064B28" w:rsidRPr="003242A0" w:rsidRDefault="00064B28" w:rsidP="00064B28">
      <w:pPr>
        <w:jc w:val="both"/>
        <w:rPr>
          <w:rFonts w:ascii="Cambria" w:eastAsia="Times New Roman" w:hAnsi="Cambria" w:cs="Times New Roman"/>
          <w:b/>
          <w:kern w:val="1"/>
          <w:sz w:val="24"/>
          <w:szCs w:val="24"/>
        </w:rPr>
      </w:pPr>
      <w:r w:rsidRPr="003242A0">
        <w:rPr>
          <w:rFonts w:ascii="Cambria" w:eastAsia="Times New Roman" w:hAnsi="Cambria" w:cs="Times New Roman"/>
          <w:b/>
          <w:kern w:val="1"/>
          <w:sz w:val="24"/>
          <w:szCs w:val="24"/>
        </w:rPr>
        <w:t>Sobre el CIBERSAM</w:t>
      </w:r>
    </w:p>
    <w:p w14:paraId="1143419D" w14:textId="77777777" w:rsidR="00064B28" w:rsidRPr="00A41072" w:rsidRDefault="00064B28" w:rsidP="00A41072">
      <w:pPr>
        <w:jc w:val="both"/>
        <w:rPr>
          <w:rFonts w:ascii="Cambria" w:eastAsia="Times New Roman" w:hAnsi="Cambria" w:cs="Times New Roman"/>
          <w:kern w:val="1"/>
          <w:sz w:val="24"/>
          <w:szCs w:val="24"/>
        </w:rPr>
      </w:pPr>
      <w:r w:rsidRPr="00A41072">
        <w:rPr>
          <w:rFonts w:ascii="Cambria" w:eastAsia="Times New Roman" w:hAnsi="Cambria" w:cs="Times New Roman"/>
          <w:kern w:val="1"/>
          <w:sz w:val="24"/>
          <w:szCs w:val="24"/>
        </w:rPr>
        <w:t>El Centro de Investigación Biomédica en Red (CIBER) es un consorcio dependiente del Instituto de Salud Carlos III (Ministerio de Ciencia e Innovación) y cofinanciado con fondos FEDER. El CIBER de Salud Mental (CIBERSAM) está formado por 25 grupos de investigación clínica, preclínica y traslacional. Está orientado fundamentalmente al estudio de trastornos mentales como depresión, esquizofrenia, trastorno bipolar, así como los trastornos de ansiedad y trastornos mentales del niño y del adolescente o la innovación terapéutica.</w:t>
      </w:r>
    </w:p>
    <w:p w14:paraId="155AF044" w14:textId="77777777" w:rsidR="00145517" w:rsidRDefault="00145517" w:rsidP="00064B28">
      <w:pPr>
        <w:jc w:val="both"/>
        <w:rPr>
          <w:rFonts w:ascii="Cambria" w:eastAsia="Times New Roman" w:hAnsi="Cambria" w:cs="Times New Roman"/>
          <w:b/>
          <w:kern w:val="1"/>
          <w:sz w:val="24"/>
          <w:szCs w:val="24"/>
        </w:rPr>
      </w:pPr>
    </w:p>
    <w:p w14:paraId="0B23B49A" w14:textId="77777777" w:rsidR="00064B28" w:rsidRPr="00276599" w:rsidRDefault="00064B28" w:rsidP="00064B28">
      <w:pPr>
        <w:jc w:val="both"/>
        <w:rPr>
          <w:rFonts w:ascii="Cambria" w:eastAsia="Times New Roman" w:hAnsi="Cambria" w:cs="Times New Roman"/>
          <w:b/>
          <w:kern w:val="1"/>
          <w:sz w:val="24"/>
          <w:szCs w:val="24"/>
        </w:rPr>
      </w:pPr>
      <w:r w:rsidRPr="00276599">
        <w:rPr>
          <w:rFonts w:ascii="Cambria" w:eastAsia="Times New Roman" w:hAnsi="Cambria" w:cs="Times New Roman"/>
          <w:b/>
          <w:kern w:val="1"/>
          <w:sz w:val="24"/>
          <w:szCs w:val="24"/>
        </w:rPr>
        <w:t xml:space="preserve">Más información </w:t>
      </w:r>
    </w:p>
    <w:p w14:paraId="5EB9BEBC" w14:textId="78D69847" w:rsidR="00064B28" w:rsidRDefault="00064B28">
      <w:r w:rsidRPr="00D356FA">
        <w:rPr>
          <w:rFonts w:asciiTheme="majorHAnsi" w:hAnsiTheme="majorHAnsi" w:cs="Arial"/>
        </w:rPr>
        <w:t xml:space="preserve">Departamento de comunicación CIBER  </w:t>
      </w:r>
      <w:hyperlink r:id="rId10" w:history="1">
        <w:r w:rsidRPr="000C10AB">
          <w:rPr>
            <w:rStyle w:val="Hipervnculo"/>
            <w:rFonts w:asciiTheme="majorHAnsi" w:hAnsiTheme="majorHAnsi" w:cs="Arial"/>
          </w:rPr>
          <w:t>comunicacion@ciberisciii.es</w:t>
        </w:r>
      </w:hyperlink>
      <w:r w:rsidRPr="00D356FA">
        <w:rPr>
          <w:rFonts w:asciiTheme="majorHAnsi" w:hAnsiTheme="majorHAnsi" w:cs="Arial"/>
        </w:rPr>
        <w:t xml:space="preserve"> / 91 171 8119</w:t>
      </w:r>
    </w:p>
    <w:sectPr w:rsidR="00064B28">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AF581" w14:textId="77777777" w:rsidR="003A30AC" w:rsidRDefault="003A30AC" w:rsidP="00064B28">
      <w:pPr>
        <w:spacing w:after="0" w:line="240" w:lineRule="auto"/>
      </w:pPr>
      <w:r>
        <w:separator/>
      </w:r>
    </w:p>
  </w:endnote>
  <w:endnote w:type="continuationSeparator" w:id="0">
    <w:p w14:paraId="2A267DBC" w14:textId="77777777" w:rsidR="003A30AC" w:rsidRDefault="003A30AC" w:rsidP="00064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hitney">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36CEA" w14:textId="77777777" w:rsidR="003A30AC" w:rsidRDefault="003A30AC" w:rsidP="00064B28">
      <w:pPr>
        <w:spacing w:after="0" w:line="240" w:lineRule="auto"/>
      </w:pPr>
      <w:r>
        <w:separator/>
      </w:r>
    </w:p>
  </w:footnote>
  <w:footnote w:type="continuationSeparator" w:id="0">
    <w:p w14:paraId="3234AC27" w14:textId="77777777" w:rsidR="003A30AC" w:rsidRDefault="003A30AC" w:rsidP="00064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377A" w14:textId="532AB29D" w:rsidR="00A74F61" w:rsidRDefault="00DC79C2">
    <w:pPr>
      <w:pStyle w:val="Encabezado"/>
      <w:rPr>
        <w:noProof/>
        <w:lang w:eastAsia="es-ES"/>
      </w:rPr>
    </w:pPr>
    <w:r>
      <w:rPr>
        <w:noProof/>
        <w:lang w:eastAsia="es-ES"/>
      </w:rPr>
      <w:drawing>
        <wp:anchor distT="0" distB="0" distL="114300" distR="114300" simplePos="0" relativeHeight="251661312" behindDoc="0" locked="0" layoutInCell="1" allowOverlap="1" wp14:anchorId="4180DED6" wp14:editId="018317C9">
          <wp:simplePos x="0" y="0"/>
          <wp:positionH relativeFrom="column">
            <wp:posOffset>3373120</wp:posOffset>
          </wp:positionH>
          <wp:positionV relativeFrom="paragraph">
            <wp:posOffset>125095</wp:posOffset>
          </wp:positionV>
          <wp:extent cx="1688465" cy="447675"/>
          <wp:effectExtent l="0" t="0" r="698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46565"/>
                  <a:stretch>
                    <a:fillRect/>
                  </a:stretch>
                </pic:blipFill>
                <pic:spPr bwMode="auto">
                  <a:xfrm>
                    <a:off x="0" y="0"/>
                    <a:ext cx="1688465" cy="447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08B09FF7" wp14:editId="2813251A">
          <wp:simplePos x="0" y="0"/>
          <wp:positionH relativeFrom="column">
            <wp:posOffset>5279390</wp:posOffset>
          </wp:positionH>
          <wp:positionV relativeFrom="paragraph">
            <wp:posOffset>77470</wp:posOffset>
          </wp:positionV>
          <wp:extent cx="609600" cy="4940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1" locked="0" layoutInCell="1" allowOverlap="1" wp14:anchorId="30E39F85" wp14:editId="4D973676">
          <wp:simplePos x="0" y="0"/>
          <wp:positionH relativeFrom="column">
            <wp:posOffset>-795655</wp:posOffset>
          </wp:positionH>
          <wp:positionV relativeFrom="paragraph">
            <wp:posOffset>1905</wp:posOffset>
          </wp:positionV>
          <wp:extent cx="1450340" cy="611505"/>
          <wp:effectExtent l="0" t="0" r="0" b="0"/>
          <wp:wrapThrough wrapText="bothSides">
            <wp:wrapPolygon edited="0">
              <wp:start x="0" y="0"/>
              <wp:lineTo x="0" y="20860"/>
              <wp:lineTo x="21278" y="20860"/>
              <wp:lineTo x="2127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ibersam.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50340" cy="611505"/>
                  </a:xfrm>
                  <a:prstGeom prst="rect">
                    <a:avLst/>
                  </a:prstGeom>
                </pic:spPr>
              </pic:pic>
            </a:graphicData>
          </a:graphic>
          <wp14:sizeRelH relativeFrom="margin">
            <wp14:pctWidth>0</wp14:pctWidth>
          </wp14:sizeRelH>
          <wp14:sizeRelV relativeFrom="margin">
            <wp14:pctHeight>0</wp14:pctHeight>
          </wp14:sizeRelV>
        </wp:anchor>
      </w:drawing>
    </w:r>
    <w:r w:rsidR="00064B28">
      <w:rPr>
        <w:noProof/>
        <w:lang w:eastAsia="es-ES"/>
      </w:rPr>
      <w:t xml:space="preserve">                                      </w:t>
    </w:r>
    <w:r>
      <w:rPr>
        <w:noProof/>
        <w:lang w:eastAsia="es-ES"/>
      </w:rPr>
      <w:drawing>
        <wp:inline distT="0" distB="0" distL="0" distR="0" wp14:anchorId="1A42A844" wp14:editId="00EAFDAA">
          <wp:extent cx="1228725" cy="489709"/>
          <wp:effectExtent l="0" t="0" r="0" b="5715"/>
          <wp:docPr id="2" name="Imagen 2" descr="LOGO-03-ISCIII-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3-ISCIII-GRAN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1658" cy="494863"/>
                  </a:xfrm>
                  <a:prstGeom prst="rect">
                    <a:avLst/>
                  </a:prstGeom>
                  <a:noFill/>
                  <a:ln>
                    <a:noFill/>
                  </a:ln>
                </pic:spPr>
              </pic:pic>
            </a:graphicData>
          </a:graphic>
        </wp:inline>
      </w:drawing>
    </w:r>
    <w:r>
      <w:rPr>
        <w:noProof/>
        <w:lang w:eastAsia="es-ES"/>
      </w:rPr>
      <w:t xml:space="preserve">   </w:t>
    </w:r>
  </w:p>
  <w:p w14:paraId="43EF087B" w14:textId="5B4D2BBC" w:rsidR="00064B28" w:rsidRDefault="00064B28">
    <w:pPr>
      <w:pStyle w:val="Encabezado"/>
    </w:pPr>
    <w:r>
      <w:rPr>
        <w:noProof/>
        <w:lang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438"/>
    <w:multiLevelType w:val="hybridMultilevel"/>
    <w:tmpl w:val="C5B69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2D4B72"/>
    <w:multiLevelType w:val="hybridMultilevel"/>
    <w:tmpl w:val="6C0A4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9E2057"/>
    <w:multiLevelType w:val="hybridMultilevel"/>
    <w:tmpl w:val="B5F89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D487F61"/>
    <w:multiLevelType w:val="hybridMultilevel"/>
    <w:tmpl w:val="204ED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AFF0451"/>
    <w:multiLevelType w:val="hybridMultilevel"/>
    <w:tmpl w:val="9E080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058"/>
    <w:rsid w:val="00006E81"/>
    <w:rsid w:val="0001301B"/>
    <w:rsid w:val="00030863"/>
    <w:rsid w:val="00047195"/>
    <w:rsid w:val="00064B28"/>
    <w:rsid w:val="00075755"/>
    <w:rsid w:val="000F04A8"/>
    <w:rsid w:val="0013754B"/>
    <w:rsid w:val="00145517"/>
    <w:rsid w:val="001747E9"/>
    <w:rsid w:val="001B1EB5"/>
    <w:rsid w:val="001B31DF"/>
    <w:rsid w:val="001E5F47"/>
    <w:rsid w:val="002155E3"/>
    <w:rsid w:val="00224180"/>
    <w:rsid w:val="00276599"/>
    <w:rsid w:val="002779E3"/>
    <w:rsid w:val="002976A0"/>
    <w:rsid w:val="002D5807"/>
    <w:rsid w:val="00310A6A"/>
    <w:rsid w:val="00332B8D"/>
    <w:rsid w:val="0035014B"/>
    <w:rsid w:val="00361F79"/>
    <w:rsid w:val="003661FF"/>
    <w:rsid w:val="00377802"/>
    <w:rsid w:val="003A30AC"/>
    <w:rsid w:val="003D17E2"/>
    <w:rsid w:val="00444A94"/>
    <w:rsid w:val="004D6044"/>
    <w:rsid w:val="0052199E"/>
    <w:rsid w:val="0052514D"/>
    <w:rsid w:val="00574580"/>
    <w:rsid w:val="005A7067"/>
    <w:rsid w:val="005A7D07"/>
    <w:rsid w:val="005B2CB7"/>
    <w:rsid w:val="005B3305"/>
    <w:rsid w:val="005B760B"/>
    <w:rsid w:val="005C67FE"/>
    <w:rsid w:val="006455DC"/>
    <w:rsid w:val="006544F8"/>
    <w:rsid w:val="00662EC4"/>
    <w:rsid w:val="006958A0"/>
    <w:rsid w:val="006C15A4"/>
    <w:rsid w:val="006E2409"/>
    <w:rsid w:val="00734833"/>
    <w:rsid w:val="0079362B"/>
    <w:rsid w:val="00801159"/>
    <w:rsid w:val="008464D4"/>
    <w:rsid w:val="0087605C"/>
    <w:rsid w:val="00877C18"/>
    <w:rsid w:val="00891F8B"/>
    <w:rsid w:val="00891FD3"/>
    <w:rsid w:val="008B4E7F"/>
    <w:rsid w:val="008D3CC5"/>
    <w:rsid w:val="008D3F20"/>
    <w:rsid w:val="008D4851"/>
    <w:rsid w:val="0091115C"/>
    <w:rsid w:val="00917CE1"/>
    <w:rsid w:val="00934EC3"/>
    <w:rsid w:val="00937AAC"/>
    <w:rsid w:val="00942F1F"/>
    <w:rsid w:val="00950BC7"/>
    <w:rsid w:val="00956F30"/>
    <w:rsid w:val="00996A7D"/>
    <w:rsid w:val="009F2088"/>
    <w:rsid w:val="00A1477B"/>
    <w:rsid w:val="00A32542"/>
    <w:rsid w:val="00A41072"/>
    <w:rsid w:val="00A74F61"/>
    <w:rsid w:val="00A84CE5"/>
    <w:rsid w:val="00AA0482"/>
    <w:rsid w:val="00AD783C"/>
    <w:rsid w:val="00AE30B1"/>
    <w:rsid w:val="00AF436A"/>
    <w:rsid w:val="00B63DC4"/>
    <w:rsid w:val="00B738C4"/>
    <w:rsid w:val="00BB4103"/>
    <w:rsid w:val="00BD0E9F"/>
    <w:rsid w:val="00CC71CD"/>
    <w:rsid w:val="00CE469A"/>
    <w:rsid w:val="00CF5D5D"/>
    <w:rsid w:val="00D15EDE"/>
    <w:rsid w:val="00D20886"/>
    <w:rsid w:val="00D92FCD"/>
    <w:rsid w:val="00DC79C2"/>
    <w:rsid w:val="00DF68ED"/>
    <w:rsid w:val="00EB09EF"/>
    <w:rsid w:val="00ED489E"/>
    <w:rsid w:val="00EF0060"/>
    <w:rsid w:val="00F07058"/>
    <w:rsid w:val="00F14319"/>
    <w:rsid w:val="00F74055"/>
    <w:rsid w:val="00F82AA6"/>
    <w:rsid w:val="00F868C3"/>
    <w:rsid w:val="00FF0E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B33FC4"/>
  <w15:docId w15:val="{775F7557-8CE1-4497-81BF-36623CAD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30B1"/>
    <w:pPr>
      <w:keepNext/>
      <w:keepLines/>
      <w:spacing w:before="240" w:after="0" w:line="240" w:lineRule="exact"/>
      <w:outlineLvl w:val="0"/>
    </w:pPr>
    <w:rPr>
      <w:rFonts w:asciiTheme="majorHAnsi" w:eastAsiaTheme="majorEastAsia" w:hAnsiTheme="majorHAnsi" w:cstheme="majorBidi"/>
      <w:color w:val="365F91" w:themeColor="accent1" w:themeShade="BF"/>
      <w:sz w:val="32"/>
      <w:szCs w:val="32"/>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4B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4B28"/>
  </w:style>
  <w:style w:type="paragraph" w:styleId="Piedepgina">
    <w:name w:val="footer"/>
    <w:basedOn w:val="Normal"/>
    <w:link w:val="PiedepginaCar"/>
    <w:uiPriority w:val="99"/>
    <w:unhideWhenUsed/>
    <w:rsid w:val="00064B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4B28"/>
  </w:style>
  <w:style w:type="paragraph" w:styleId="Textodeglobo">
    <w:name w:val="Balloon Text"/>
    <w:basedOn w:val="Normal"/>
    <w:link w:val="TextodegloboCar"/>
    <w:uiPriority w:val="99"/>
    <w:semiHidden/>
    <w:unhideWhenUsed/>
    <w:rsid w:val="00064B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4B28"/>
    <w:rPr>
      <w:rFonts w:ascii="Tahoma" w:hAnsi="Tahoma" w:cs="Tahoma"/>
      <w:sz w:val="16"/>
      <w:szCs w:val="16"/>
    </w:rPr>
  </w:style>
  <w:style w:type="character" w:styleId="Hipervnculo">
    <w:name w:val="Hyperlink"/>
    <w:basedOn w:val="Fuentedeprrafopredeter"/>
    <w:uiPriority w:val="99"/>
    <w:unhideWhenUsed/>
    <w:rsid w:val="00064B28"/>
    <w:rPr>
      <w:color w:val="0563C1"/>
      <w:u w:val="single"/>
    </w:rPr>
  </w:style>
  <w:style w:type="paragraph" w:styleId="Prrafodelista">
    <w:name w:val="List Paragraph"/>
    <w:basedOn w:val="Normal"/>
    <w:uiPriority w:val="34"/>
    <w:qFormat/>
    <w:rsid w:val="005B3305"/>
    <w:pPr>
      <w:ind w:left="720"/>
      <w:contextualSpacing/>
    </w:pPr>
  </w:style>
  <w:style w:type="character" w:styleId="Refdecomentario">
    <w:name w:val="annotation reference"/>
    <w:basedOn w:val="Fuentedeprrafopredeter"/>
    <w:uiPriority w:val="99"/>
    <w:semiHidden/>
    <w:unhideWhenUsed/>
    <w:rsid w:val="00891F8B"/>
    <w:rPr>
      <w:sz w:val="16"/>
      <w:szCs w:val="16"/>
    </w:rPr>
  </w:style>
  <w:style w:type="paragraph" w:styleId="Textocomentario">
    <w:name w:val="annotation text"/>
    <w:basedOn w:val="Normal"/>
    <w:link w:val="TextocomentarioCar"/>
    <w:uiPriority w:val="99"/>
    <w:semiHidden/>
    <w:unhideWhenUsed/>
    <w:rsid w:val="00891F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1F8B"/>
    <w:rPr>
      <w:sz w:val="20"/>
      <w:szCs w:val="20"/>
    </w:rPr>
  </w:style>
  <w:style w:type="paragraph" w:styleId="Asuntodelcomentario">
    <w:name w:val="annotation subject"/>
    <w:basedOn w:val="Textocomentario"/>
    <w:next w:val="Textocomentario"/>
    <w:link w:val="AsuntodelcomentarioCar"/>
    <w:uiPriority w:val="99"/>
    <w:semiHidden/>
    <w:unhideWhenUsed/>
    <w:rsid w:val="00891F8B"/>
    <w:rPr>
      <w:b/>
      <w:bCs/>
    </w:rPr>
  </w:style>
  <w:style w:type="character" w:customStyle="1" w:styleId="AsuntodelcomentarioCar">
    <w:name w:val="Asunto del comentario Car"/>
    <w:basedOn w:val="TextocomentarioCar"/>
    <w:link w:val="Asuntodelcomentario"/>
    <w:uiPriority w:val="99"/>
    <w:semiHidden/>
    <w:rsid w:val="00891F8B"/>
    <w:rPr>
      <w:b/>
      <w:bCs/>
      <w:sz w:val="20"/>
      <w:szCs w:val="20"/>
    </w:rPr>
  </w:style>
  <w:style w:type="paragraph" w:styleId="Revisin">
    <w:name w:val="Revision"/>
    <w:hidden/>
    <w:uiPriority w:val="99"/>
    <w:semiHidden/>
    <w:rsid w:val="00891F8B"/>
    <w:pPr>
      <w:spacing w:after="0" w:line="240" w:lineRule="auto"/>
    </w:pPr>
  </w:style>
  <w:style w:type="character" w:customStyle="1" w:styleId="Ttulo1Car">
    <w:name w:val="Título 1 Car"/>
    <w:basedOn w:val="Fuentedeprrafopredeter"/>
    <w:link w:val="Ttulo1"/>
    <w:uiPriority w:val="9"/>
    <w:rsid w:val="00AE30B1"/>
    <w:rPr>
      <w:rFonts w:asciiTheme="majorHAnsi" w:eastAsiaTheme="majorEastAsia" w:hAnsiTheme="majorHAnsi" w:cstheme="majorBidi"/>
      <w:color w:val="365F91" w:themeColor="accent1" w:themeShade="BF"/>
      <w:sz w:val="32"/>
      <w:szCs w:val="32"/>
      <w:lang w:val="ca-ES"/>
    </w:rPr>
  </w:style>
  <w:style w:type="paragraph" w:styleId="NormalWeb">
    <w:name w:val="Normal (Web)"/>
    <w:basedOn w:val="Normal"/>
    <w:uiPriority w:val="99"/>
    <w:unhideWhenUsed/>
    <w:rsid w:val="00AE30B1"/>
    <w:pPr>
      <w:spacing w:before="100" w:beforeAutospacing="1" w:after="100" w:afterAutospacing="1" w:line="240" w:lineRule="auto"/>
    </w:pPr>
    <w:rPr>
      <w:rFonts w:ascii="Times New Roman" w:eastAsia="Cambria" w:hAnsi="Times New Roman" w:cs="Times New Roman"/>
      <w:sz w:val="24"/>
      <w:szCs w:val="24"/>
      <w:lang w:eastAsia="es-ES"/>
    </w:rPr>
  </w:style>
  <w:style w:type="paragraph" w:customStyle="1" w:styleId="Default">
    <w:name w:val="Default"/>
    <w:rsid w:val="00AE30B1"/>
    <w:pPr>
      <w:autoSpaceDE w:val="0"/>
      <w:autoSpaceDN w:val="0"/>
      <w:adjustRightInd w:val="0"/>
      <w:spacing w:after="0" w:line="240" w:lineRule="auto"/>
    </w:pPr>
    <w:rPr>
      <w:rFonts w:ascii="Whitney" w:eastAsia="Cambria" w:hAnsi="Whitney" w:cs="Whitney"/>
      <w:color w:val="000000"/>
      <w:sz w:val="24"/>
      <w:szCs w:val="24"/>
      <w:lang w:eastAsia="es-ES"/>
    </w:rPr>
  </w:style>
  <w:style w:type="paragraph" w:styleId="Textonotapie">
    <w:name w:val="footnote text"/>
    <w:basedOn w:val="Normal"/>
    <w:link w:val="TextonotapieCar"/>
    <w:uiPriority w:val="99"/>
    <w:semiHidden/>
    <w:unhideWhenUsed/>
    <w:rsid w:val="00AF43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F436A"/>
    <w:rPr>
      <w:sz w:val="20"/>
      <w:szCs w:val="20"/>
    </w:rPr>
  </w:style>
  <w:style w:type="character" w:styleId="Refdenotaalpie">
    <w:name w:val="footnote reference"/>
    <w:basedOn w:val="Fuentedeprrafopredeter"/>
    <w:uiPriority w:val="99"/>
    <w:semiHidden/>
    <w:unhideWhenUsed/>
    <w:rsid w:val="00AF43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org/core/journals/psychological-medicine/article/childhood-maltreatment-disrupts-hpaaxis-activity-under-basal-and-stress-conditions-in-a-doseresponse-relationship-in-children-and-adolescents/A6B8761F2BDD12B61ED2EFD4CD4DA9F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mbridge.org/core/journals/psychological-medicine/article/childhood-maltreatment-disrupts-hpaaxis-activity-under-basal-and-stress-conditions-in-a-doseresponse-relationship-in-children-and-adolescents/A6B8761F2BDD12B61ED2EFD4CD4DA9F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municacion@ciberisciii.es" TargetMode="External"/><Relationship Id="rId4" Type="http://schemas.openxmlformats.org/officeDocument/2006/relationships/webSettings" Target="webSettings.xml"/><Relationship Id="rId9" Type="http://schemas.openxmlformats.org/officeDocument/2006/relationships/hyperlink" Target="https://www.cambridge.org/core/journals/psychological-medicine/article/childhood-maltreatment-disrupts-hpaaxis-activity-under-basal-and-stress-conditions-in-a-doseresponse-relationship-in-children-and-adolescents/A6B8761F2BDD12B61ED2EFD4CD4DA9F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1227</Words>
  <Characters>6751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Navarro, Begoña [Ciberisciii]</cp:lastModifiedBy>
  <cp:revision>13</cp:revision>
  <cp:lastPrinted>2020-11-17T09:36:00Z</cp:lastPrinted>
  <dcterms:created xsi:type="dcterms:W3CDTF">2021-09-08T12:35:00Z</dcterms:created>
  <dcterms:modified xsi:type="dcterms:W3CDTF">2021-09-08T13:36:00Z</dcterms:modified>
</cp:coreProperties>
</file>